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救济途径公示情况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局门户网址：http://cgzfj.liuzhou.gov.cn/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网页截图：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3665" cy="6995160"/>
            <wp:effectExtent l="0" t="0" r="6985" b="15240"/>
            <wp:docPr id="1" name="图片 1" descr="4462b750658f347580d6a7a5c1c77e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62b750658f347580d6a7a5c1c77e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7040" cy="7369175"/>
            <wp:effectExtent l="0" t="0" r="16510" b="3175"/>
            <wp:docPr id="2" name="图片 2" descr="beb3a8bc5c0d277cc56624ad814ad3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b3a8bc5c0d277cc56624ad814ad3b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7040" cy="736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4EA4"/>
    <w:rsid w:val="01E44EA4"/>
    <w:rsid w:val="1C807EE3"/>
    <w:rsid w:val="EDC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left"/>
      <w:outlineLvl w:val="0"/>
    </w:pPr>
    <w:rPr>
      <w:rFonts w:ascii="方正小标宋简体" w:hAnsi="方正小标宋简体" w:eastAsia="宋体" w:cstheme="minorBid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2021-11-24T16:49:00Z</dcterms:created>
  <dc:creator>万粽子</dc:creator>
  <cp:lastModifiedBy>李慧媛</cp:lastModifiedBy>
  <dcterms:modified xsi:type="dcterms:W3CDTF">2022-11-27T16:37:50Z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15C0BF87EAA94FDBAC28DD64851A528A</vt:lpwstr>
  </property>
</Properties>
</file>